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5863" w14:textId="52F02289" w:rsidR="0053291F" w:rsidRPr="0053291F" w:rsidRDefault="0053291F" w:rsidP="0053291F">
      <w:pPr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Cs/>
          <w:sz w:val="32"/>
          <w:szCs w:val="32"/>
        </w:rPr>
      </w:pPr>
      <w:r w:rsidRPr="0053291F">
        <w:rPr>
          <w:rFonts w:ascii="TH Sarabun New" w:hAnsi="TH Sarabun New" w:cs="TH Sarabun New"/>
          <w:bCs/>
          <w:sz w:val="32"/>
          <w:szCs w:val="32"/>
          <w:cs/>
        </w:rPr>
        <w:t>อาจารย์ ทันตแพทย์ณภัทร ดำรงสิริรัช</w:t>
      </w:r>
    </w:p>
    <w:p w14:paraId="7CDDF7CA" w14:textId="786B39E2" w:rsidR="0053291F" w:rsidRPr="0053291F" w:rsidRDefault="0053291F" w:rsidP="0053291F">
      <w:pPr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sz w:val="32"/>
          <w:szCs w:val="32"/>
        </w:rPr>
      </w:pPr>
      <w:r w:rsidRPr="0053291F">
        <w:rPr>
          <w:rFonts w:ascii="TH Sarabun New" w:hAnsi="TH Sarabun New" w:cs="TH Sarabun New"/>
          <w:bCs/>
          <w:sz w:val="32"/>
          <w:szCs w:val="32"/>
          <w:cs/>
          <w:lang w:val="th-TH"/>
        </w:rPr>
        <w:t>(</w:t>
      </w:r>
      <w:r w:rsidRPr="0053291F">
        <w:rPr>
          <w:rFonts w:ascii="TH Sarabun New" w:hAnsi="TH Sarabun New" w:cs="TH Sarabun New"/>
          <w:b/>
          <w:sz w:val="32"/>
          <w:szCs w:val="32"/>
          <w:lang w:val="th-TH"/>
        </w:rPr>
        <w:t>Napat Damrongsirirat</w:t>
      </w:r>
      <w:r w:rsidRPr="0053291F">
        <w:rPr>
          <w:rFonts w:ascii="TH Sarabun New" w:hAnsi="TH Sarabun New" w:cs="TH Sarabun New"/>
          <w:b/>
          <w:sz w:val="32"/>
          <w:szCs w:val="32"/>
        </w:rPr>
        <w:t>, DDS)</w:t>
      </w:r>
    </w:p>
    <w:p w14:paraId="76AE94B6" w14:textId="77777777" w:rsidR="0053291F" w:rsidRPr="0053291F" w:rsidRDefault="0053291F" w:rsidP="0053291F">
      <w:pPr>
        <w:tabs>
          <w:tab w:val="left" w:pos="720"/>
          <w:tab w:val="left" w:pos="5760"/>
        </w:tabs>
        <w:rPr>
          <w:rFonts w:ascii="TH Sarabun New" w:hAnsi="TH Sarabun New" w:cs="TH Sarabun New"/>
          <w:sz w:val="32"/>
          <w:szCs w:val="32"/>
        </w:rPr>
      </w:pPr>
    </w:p>
    <w:p w14:paraId="228BF378" w14:textId="77777777" w:rsidR="0053291F" w:rsidRPr="0053291F" w:rsidRDefault="0053291F" w:rsidP="0053291F">
      <w:pPr>
        <w:tabs>
          <w:tab w:val="left" w:pos="720"/>
          <w:tab w:val="left" w:pos="5760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53291F">
        <w:rPr>
          <w:rFonts w:ascii="TH Sarabun New" w:hAnsi="TH Sarabun New" w:cs="TH Sarabun New"/>
          <w:b/>
          <w:bCs/>
          <w:sz w:val="32"/>
          <w:szCs w:val="32"/>
          <w:cs/>
        </w:rPr>
        <w:t>คุณวุฒิ</w:t>
      </w:r>
    </w:p>
    <w:p w14:paraId="6E08050D" w14:textId="44988405" w:rsidR="0053291F" w:rsidRPr="0053291F" w:rsidRDefault="0053291F" w:rsidP="0053291F">
      <w:pPr>
        <w:shd w:val="clear" w:color="auto" w:fill="FFFFFF"/>
        <w:tabs>
          <w:tab w:val="left" w:pos="5220"/>
          <w:tab w:val="left" w:pos="7740"/>
        </w:tabs>
        <w:autoSpaceDE w:val="0"/>
        <w:autoSpaceDN w:val="0"/>
        <w:adjustRightInd w:val="0"/>
        <w:ind w:firstLine="270"/>
        <w:rPr>
          <w:rFonts w:ascii="TH Sarabun New" w:hAnsi="TH Sarabun New" w:cs="TH Sarabun New"/>
          <w:sz w:val="32"/>
          <w:szCs w:val="32"/>
          <w:cs/>
        </w:rPr>
      </w:pPr>
      <w:r w:rsidRPr="0053291F">
        <w:rPr>
          <w:rFonts w:ascii="TH Sarabun New" w:hAnsi="TH Sarabun New" w:cs="TH Sarabun New"/>
          <w:sz w:val="32"/>
          <w:szCs w:val="32"/>
          <w:cs/>
        </w:rPr>
        <w:t>ว.ท.* (ศัลยศาสตร์ช่องปากและแม็กซิลโลเฟเชียล)</w:t>
      </w:r>
      <w:r w:rsidRPr="0053291F">
        <w:rPr>
          <w:rFonts w:ascii="TH Sarabun New" w:hAnsi="TH Sarabun New" w:cs="TH Sarabun New"/>
          <w:sz w:val="32"/>
          <w:szCs w:val="32"/>
          <w:cs/>
        </w:rPr>
        <w:tab/>
        <w:t>ทันตแพทยสภา</w:t>
      </w:r>
      <w:r w:rsidRPr="0053291F">
        <w:rPr>
          <w:rFonts w:ascii="TH Sarabun New" w:hAnsi="TH Sarabun New" w:cs="TH Sarabun New"/>
          <w:sz w:val="32"/>
          <w:szCs w:val="32"/>
          <w:cs/>
        </w:rPr>
        <w:tab/>
        <w:t>พ.ศ.</w:t>
      </w:r>
      <w:r w:rsidRPr="0053291F">
        <w:rPr>
          <w:rFonts w:ascii="TH Sarabun New" w:hAnsi="TH Sarabun New" w:cs="TH Sarabun New"/>
          <w:sz w:val="32"/>
          <w:szCs w:val="32"/>
        </w:rPr>
        <w:t xml:space="preserve"> </w:t>
      </w:r>
      <w:r w:rsidRPr="0053291F">
        <w:rPr>
          <w:rFonts w:ascii="TH Sarabun New" w:hAnsi="TH Sarabun New" w:cs="TH Sarabun New"/>
          <w:sz w:val="32"/>
          <w:szCs w:val="32"/>
          <w:cs/>
        </w:rPr>
        <w:t>2565</w:t>
      </w:r>
    </w:p>
    <w:p w14:paraId="3330C54A" w14:textId="2A0D8378" w:rsidR="0053291F" w:rsidRPr="0053291F" w:rsidRDefault="0053291F" w:rsidP="0053291F">
      <w:pPr>
        <w:shd w:val="clear" w:color="auto" w:fill="FFFFFF"/>
        <w:tabs>
          <w:tab w:val="left" w:pos="5220"/>
          <w:tab w:val="left" w:pos="7740"/>
        </w:tabs>
        <w:autoSpaceDE w:val="0"/>
        <w:autoSpaceDN w:val="0"/>
        <w:adjustRightInd w:val="0"/>
        <w:ind w:firstLine="270"/>
        <w:rPr>
          <w:rFonts w:ascii="TH Sarabun New" w:hAnsi="TH Sarabun New" w:cs="TH Sarabun New"/>
          <w:sz w:val="32"/>
          <w:szCs w:val="32"/>
        </w:rPr>
      </w:pPr>
      <w:r w:rsidRPr="0053291F">
        <w:rPr>
          <w:rFonts w:ascii="TH Sarabun New" w:hAnsi="TH Sarabun New" w:cs="TH Sarabun New"/>
          <w:sz w:val="32"/>
          <w:szCs w:val="32"/>
          <w:cs/>
        </w:rPr>
        <w:t>ท.บ.  (ทันตแพทยศาสตร์)</w:t>
      </w:r>
      <w:r w:rsidRPr="0053291F">
        <w:rPr>
          <w:rFonts w:ascii="TH Sarabun New" w:hAnsi="TH Sarabun New" w:cs="TH Sarabun New"/>
          <w:sz w:val="32"/>
          <w:szCs w:val="32"/>
          <w:cs/>
        </w:rPr>
        <w:tab/>
        <w:t>จุฬาลงกรณ์มหาวิทยาลัย</w:t>
      </w:r>
      <w:r w:rsidRPr="0053291F">
        <w:rPr>
          <w:rFonts w:ascii="TH Sarabun New" w:hAnsi="TH Sarabun New" w:cs="TH Sarabun New"/>
          <w:sz w:val="32"/>
          <w:szCs w:val="32"/>
          <w:cs/>
        </w:rPr>
        <w:tab/>
        <w:t>พ.ศ.</w:t>
      </w:r>
      <w:r w:rsidRPr="0053291F">
        <w:rPr>
          <w:rFonts w:ascii="TH Sarabun New" w:hAnsi="TH Sarabun New" w:cs="TH Sarabun New"/>
          <w:sz w:val="32"/>
          <w:szCs w:val="32"/>
        </w:rPr>
        <w:t xml:space="preserve"> </w:t>
      </w:r>
      <w:r w:rsidRPr="0053291F">
        <w:rPr>
          <w:rFonts w:ascii="TH Sarabun New" w:hAnsi="TH Sarabun New" w:cs="TH Sarabun New"/>
          <w:sz w:val="32"/>
          <w:szCs w:val="32"/>
          <w:cs/>
        </w:rPr>
        <w:t>2554</w:t>
      </w:r>
    </w:p>
    <w:p w14:paraId="61DA03D4" w14:textId="77777777" w:rsidR="003F51A0" w:rsidRDefault="003F51A0" w:rsidP="0053291F">
      <w:pPr>
        <w:tabs>
          <w:tab w:val="left" w:pos="270"/>
          <w:tab w:val="left" w:pos="720"/>
          <w:tab w:val="left" w:pos="1440"/>
          <w:tab w:val="left" w:pos="5400"/>
        </w:tabs>
        <w:spacing w:before="120"/>
        <w:ind w:right="-74"/>
        <w:rPr>
          <w:rFonts w:ascii="TH Sarabun New" w:hAnsi="TH Sarabun New" w:cs="TH Sarabun New"/>
          <w:sz w:val="32"/>
          <w:szCs w:val="32"/>
        </w:rPr>
      </w:pPr>
    </w:p>
    <w:p w14:paraId="710D823E" w14:textId="3715FEBA" w:rsidR="0053291F" w:rsidRPr="0053291F" w:rsidRDefault="0053291F" w:rsidP="0053291F">
      <w:pPr>
        <w:tabs>
          <w:tab w:val="left" w:pos="270"/>
          <w:tab w:val="left" w:pos="720"/>
          <w:tab w:val="left" w:pos="1440"/>
          <w:tab w:val="left" w:pos="5400"/>
        </w:tabs>
        <w:spacing w:before="120"/>
        <w:ind w:right="-74"/>
        <w:rPr>
          <w:rFonts w:ascii="TH Sarabun New" w:hAnsi="TH Sarabun New" w:cs="TH Sarabun New"/>
          <w:sz w:val="32"/>
          <w:szCs w:val="32"/>
        </w:rPr>
      </w:pPr>
      <w:r w:rsidRPr="0053291F">
        <w:rPr>
          <w:rFonts w:ascii="TH Sarabun New" w:hAnsi="TH Sarabun New" w:cs="TH Sarabun New"/>
          <w:sz w:val="32"/>
          <w:szCs w:val="32"/>
        </w:rPr>
        <w:t xml:space="preserve">* </w:t>
      </w:r>
      <w:r w:rsidRPr="0053291F">
        <w:rPr>
          <w:rFonts w:ascii="TH Sarabun New" w:hAnsi="TH Sarabun New" w:cs="TH Sarabun New"/>
          <w:sz w:val="32"/>
          <w:szCs w:val="32"/>
          <w:cs/>
        </w:rPr>
        <w:t>ผ่านการรับรองคุณวุฒิผู้สำเร็จการศึกษาตามหลักสูตรวุฒิบัตรหรืออนุมัติบัตรของทันตแพทยสภาในการประชุมวันที่ 10 ตุลาคม 2562 ว่าเทียบได้เท่ากับคุณวุฒิปริญญาเอก ตามเกณฑ์มาตรฐานหลักสูตรระดับบัณฑิตศึกษา พ.ศ. 2558</w:t>
      </w:r>
    </w:p>
    <w:p w14:paraId="2E4A86FA" w14:textId="77777777" w:rsidR="0053291F" w:rsidRPr="0053291F" w:rsidRDefault="0053291F" w:rsidP="0053291F">
      <w:pPr>
        <w:tabs>
          <w:tab w:val="left" w:pos="720"/>
          <w:tab w:val="left" w:pos="576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AAC0E5C" w14:textId="77777777" w:rsidR="00761802" w:rsidRPr="00761802" w:rsidRDefault="00761802" w:rsidP="00761802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6180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ผลงานทางวิชาการ (ในรอบ 5 ปีย้อนหลัง)</w:t>
      </w:r>
    </w:p>
    <w:p w14:paraId="1591462D" w14:textId="77777777" w:rsidR="00761802" w:rsidRDefault="00761802" w:rsidP="00761802">
      <w:pPr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 w:rsidRPr="00761802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</w:t>
      </w:r>
    </w:p>
    <w:p w14:paraId="63D8F334" w14:textId="11737662" w:rsidR="0053291F" w:rsidRPr="00761802" w:rsidRDefault="0053291F" w:rsidP="0076180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7618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บทความวิจัยในวารสาร   </w:t>
      </w:r>
    </w:p>
    <w:p w14:paraId="47B17A41" w14:textId="77777777" w:rsidR="00F70E50" w:rsidRPr="0053291F" w:rsidRDefault="00F70E50" w:rsidP="00F70E50">
      <w:pPr>
        <w:pStyle w:val="ListParagraph"/>
        <w:numPr>
          <w:ilvl w:val="0"/>
          <w:numId w:val="2"/>
        </w:numPr>
        <w:ind w:right="-244"/>
        <w:jc w:val="thaiDistribute"/>
        <w:rPr>
          <w:rFonts w:ascii="TH Sarabun New" w:hAnsi="TH Sarabun New" w:cs="TH Sarabun New"/>
          <w:sz w:val="32"/>
          <w:szCs w:val="32"/>
          <w:lang w:eastAsia="ja-JP"/>
        </w:rPr>
      </w:pPr>
      <w:r w:rsidRPr="0053291F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 xml:space="preserve">Heng S, Arunjaroensuk S, Pozzi A, 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>Damrongsirirat N</w:t>
      </w:r>
      <w:r w:rsidRPr="0053291F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 xml:space="preserve">, Pimkhaokham A, Mattheos N. Comparing Medium to Long-Term Esthetic, Clinical, and Patient-Reported Outcomes Between Freehand and Computer-Assisted Dental Implant Placement: A Cross-Sectional Study. 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>J Esthet Restor Dent. Nov</w:t>
      </w:r>
      <w:r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>ember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 xml:space="preserve"> 2024</w:t>
      </w:r>
      <w:r w:rsidRPr="0053291F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 xml:space="preserve">.doi: 10.1111/jerd.13345. 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>PUBMED</w:t>
      </w:r>
    </w:p>
    <w:p w14:paraId="14F70DD3" w14:textId="79499567" w:rsidR="0053291F" w:rsidRPr="0053291F" w:rsidRDefault="0053291F" w:rsidP="0053291F">
      <w:pPr>
        <w:pStyle w:val="ListParagraph"/>
        <w:numPr>
          <w:ilvl w:val="0"/>
          <w:numId w:val="2"/>
        </w:numPr>
        <w:ind w:right="-244"/>
        <w:jc w:val="thaiDistribute"/>
        <w:rPr>
          <w:rFonts w:ascii="TH Sarabun New" w:hAnsi="TH Sarabun New" w:cs="TH Sarabun New"/>
          <w:sz w:val="32"/>
          <w:szCs w:val="32"/>
          <w:lang w:eastAsia="ja-JP"/>
        </w:rPr>
      </w:pPr>
      <w:r w:rsidRPr="0053291F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 xml:space="preserve">Mahardawi B, 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>Damrongsirirat N</w:t>
      </w:r>
      <w:r w:rsidRPr="0053291F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 xml:space="preserve">, Dhanesuan K, Subbalekha K, Mattheos N, Pimkhaokham A. Radiographic changes after alveolar ridge preservation using autogenous raw tooth particles versus xenograft: A prospective controlled clinical trial. 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 xml:space="preserve">Clin Oral Implants Res. </w:t>
      </w:r>
      <w:r w:rsidR="00995416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 xml:space="preserve">August 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>2024</w:t>
      </w:r>
      <w:r w:rsidRPr="0053291F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>.</w:t>
      </w:r>
      <w:r w:rsidR="00995416" w:rsidRPr="00995416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>;35(12):1597-1606.</w:t>
      </w:r>
      <w:r w:rsidRPr="0053291F">
        <w:rPr>
          <w:rFonts w:ascii="TH Sarabun New" w:hAnsi="TH Sarabun New" w:cs="TH Sarabun New"/>
          <w:color w:val="212121"/>
          <w:sz w:val="32"/>
          <w:szCs w:val="32"/>
          <w:shd w:val="clear" w:color="auto" w:fill="FFFFFF"/>
        </w:rPr>
        <w:t xml:space="preserve"> doi: 10.1111/clr.14348. 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>PUBMED</w:t>
      </w:r>
    </w:p>
    <w:p w14:paraId="12ED7A84" w14:textId="2D2BED0D" w:rsidR="0053291F" w:rsidRPr="0053291F" w:rsidRDefault="0053291F" w:rsidP="00995416">
      <w:pPr>
        <w:pStyle w:val="ListParagraph"/>
        <w:numPr>
          <w:ilvl w:val="0"/>
          <w:numId w:val="2"/>
        </w:numPr>
        <w:ind w:right="-244"/>
        <w:rPr>
          <w:rFonts w:ascii="TH Sarabun New" w:hAnsi="TH Sarabun New" w:cs="TH Sarabun New"/>
          <w:sz w:val="32"/>
          <w:szCs w:val="32"/>
          <w:lang w:eastAsia="ja-JP"/>
        </w:rPr>
      </w:pPr>
      <w:r w:rsidRPr="0053291F">
        <w:rPr>
          <w:rFonts w:ascii="TH Sarabun New" w:hAnsi="TH Sarabun New" w:cs="TH Sarabun New"/>
          <w:sz w:val="32"/>
          <w:szCs w:val="32"/>
        </w:rPr>
        <w:t xml:space="preserve">Mahardawi B, Jiaranuchart S, </w:t>
      </w:r>
      <w:r w:rsidRPr="0053291F">
        <w:rPr>
          <w:rFonts w:ascii="TH Sarabun New" w:hAnsi="TH Sarabun New" w:cs="TH Sarabun New"/>
          <w:b/>
          <w:bCs/>
          <w:sz w:val="32"/>
          <w:szCs w:val="32"/>
        </w:rPr>
        <w:t>Damrongsirirat N</w:t>
      </w:r>
      <w:r w:rsidRPr="0053291F">
        <w:rPr>
          <w:rFonts w:ascii="TH Sarabun New" w:hAnsi="TH Sarabun New" w:cs="TH Sarabun New"/>
          <w:sz w:val="32"/>
          <w:szCs w:val="32"/>
        </w:rPr>
        <w:t xml:space="preserve">, Arunjaroensuk S, Mattheos N, Somboonsavatdee A, </w:t>
      </w:r>
      <w:r w:rsidRPr="0053291F">
        <w:rPr>
          <w:rFonts w:ascii="TH Sarabun New" w:hAnsi="TH Sarabun New" w:cs="TH Sarabun New"/>
          <w:b/>
          <w:bCs/>
          <w:sz w:val="32"/>
          <w:szCs w:val="32"/>
        </w:rPr>
        <w:t>Pimkhaokham A</w:t>
      </w:r>
      <w:r w:rsidRPr="0053291F">
        <w:rPr>
          <w:rFonts w:ascii="TH Sarabun New" w:hAnsi="TH Sarabun New" w:cs="TH Sarabun New"/>
          <w:sz w:val="32"/>
          <w:szCs w:val="32"/>
        </w:rPr>
        <w:t xml:space="preserve">. The lack of keratinized mucosa as a risk factor for peri-implantitis: a systematic review and meta-analysis. </w:t>
      </w:r>
      <w:r w:rsidRPr="0053291F">
        <w:rPr>
          <w:rFonts w:ascii="TH Sarabun New" w:hAnsi="TH Sarabun New" w:cs="TH Sarabun New"/>
          <w:b/>
          <w:bCs/>
          <w:sz w:val="32"/>
          <w:szCs w:val="32"/>
        </w:rPr>
        <w:t xml:space="preserve">Sci Rep. </w:t>
      </w:r>
      <w:r w:rsidR="00995416">
        <w:rPr>
          <w:rFonts w:ascii="TH Sarabun New" w:hAnsi="TH Sarabun New" w:cs="TH Sarabun New"/>
          <w:b/>
          <w:bCs/>
          <w:sz w:val="32"/>
          <w:szCs w:val="32"/>
        </w:rPr>
        <w:t xml:space="preserve">March </w:t>
      </w:r>
      <w:r w:rsidRPr="0053291F">
        <w:rPr>
          <w:rFonts w:ascii="TH Sarabun New" w:hAnsi="TH Sarabun New" w:cs="TH Sarabun New"/>
          <w:b/>
          <w:bCs/>
          <w:sz w:val="32"/>
          <w:szCs w:val="32"/>
        </w:rPr>
        <w:t>2023</w:t>
      </w:r>
      <w:r w:rsidRPr="0053291F">
        <w:rPr>
          <w:rFonts w:ascii="TH Sarabun New" w:hAnsi="TH Sarabun New" w:cs="TH Sarabun New"/>
          <w:sz w:val="32"/>
          <w:szCs w:val="32"/>
        </w:rPr>
        <w:t>;13(1):3778. doi: 10.1038/s41598-023-30890-8.PMID: 36882495.</w:t>
      </w:r>
      <w:r w:rsidRPr="0053291F">
        <w:rPr>
          <w:rFonts w:ascii="TH Sarabun New" w:hAnsi="TH Sarabun New" w:cs="TH Sarabun New"/>
          <w:b/>
          <w:bCs/>
          <w:color w:val="212121"/>
          <w:sz w:val="32"/>
          <w:szCs w:val="32"/>
          <w:shd w:val="clear" w:color="auto" w:fill="FFFFFF"/>
        </w:rPr>
        <w:t xml:space="preserve"> PUBMED</w:t>
      </w:r>
    </w:p>
    <w:p w14:paraId="42CC78BB" w14:textId="77777777" w:rsidR="00011AA9" w:rsidRPr="00011AA9" w:rsidRDefault="00011AA9" w:rsidP="00011AA9">
      <w:pPr>
        <w:spacing w:before="120" w:line="276" w:lineRule="auto"/>
        <w:ind w:firstLine="45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bookmarkStart w:id="0" w:name="_Hlk143284481"/>
      <w:r w:rsidRPr="00011AA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ข. รายงานการประชุมฉบับสมบูรณ์ (ที่มี </w:t>
      </w:r>
      <w:r w:rsidRPr="00011AA9">
        <w:rPr>
          <w:rFonts w:ascii="TH Sarabun New" w:hAnsi="TH Sarabun New" w:cs="TH Sarabun New"/>
          <w:b/>
          <w:bCs/>
          <w:sz w:val="32"/>
          <w:szCs w:val="32"/>
        </w:rPr>
        <w:t>peer review)</w:t>
      </w:r>
    </w:p>
    <w:p w14:paraId="3940741A" w14:textId="77777777" w:rsidR="00011AA9" w:rsidRDefault="00011AA9" w:rsidP="00011AA9">
      <w:pPr>
        <w:pStyle w:val="ListParagraph"/>
        <w:spacing w:line="276" w:lineRule="auto"/>
        <w:ind w:left="1080"/>
        <w:rPr>
          <w:rFonts w:ascii="TH Sarabun New" w:hAnsi="TH Sarabun New" w:cs="TH Sarabun New"/>
          <w:sz w:val="32"/>
          <w:szCs w:val="32"/>
        </w:rPr>
      </w:pPr>
      <w:r w:rsidRPr="007E29AB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53657F87" w14:textId="77777777" w:rsidR="00011AA9" w:rsidRPr="007E29AB" w:rsidRDefault="00011AA9" w:rsidP="00011AA9">
      <w:pPr>
        <w:pStyle w:val="ListParagraph"/>
        <w:spacing w:line="276" w:lineRule="auto"/>
        <w:ind w:left="1080"/>
        <w:rPr>
          <w:rFonts w:ascii="TH Sarabun New" w:hAnsi="TH Sarabun New" w:cs="TH Sarabun New"/>
          <w:sz w:val="32"/>
          <w:szCs w:val="32"/>
        </w:rPr>
      </w:pPr>
    </w:p>
    <w:p w14:paraId="78B2DEEF" w14:textId="77777777" w:rsidR="00011AA9" w:rsidRPr="00011AA9" w:rsidRDefault="00011AA9" w:rsidP="00011AA9">
      <w:pPr>
        <w:spacing w:line="276" w:lineRule="auto"/>
        <w:ind w:firstLine="360"/>
        <w:rPr>
          <w:rFonts w:ascii="TH Sarabun New" w:hAnsi="TH Sarabun New" w:cs="TH Sarabun New"/>
          <w:b/>
          <w:bCs/>
          <w:sz w:val="32"/>
          <w:szCs w:val="32"/>
        </w:rPr>
      </w:pPr>
      <w:r w:rsidRPr="00011AA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ค. รายงานการวิจัยฉบับสมบูรณ์ (ที่มี </w:t>
      </w:r>
      <w:r w:rsidRPr="00011AA9">
        <w:rPr>
          <w:rFonts w:ascii="TH Sarabun New" w:hAnsi="TH Sarabun New" w:cs="TH Sarabun New"/>
          <w:b/>
          <w:bCs/>
          <w:sz w:val="32"/>
          <w:szCs w:val="32"/>
        </w:rPr>
        <w:t>peer review)</w:t>
      </w:r>
    </w:p>
    <w:p w14:paraId="011F80B2" w14:textId="77777777" w:rsidR="00011AA9" w:rsidRPr="007E29AB" w:rsidRDefault="00011AA9" w:rsidP="00011AA9">
      <w:pPr>
        <w:pStyle w:val="ListParagraph"/>
        <w:spacing w:line="276" w:lineRule="auto"/>
        <w:ind w:left="1080"/>
        <w:rPr>
          <w:rFonts w:ascii="TH Sarabun New" w:hAnsi="TH Sarabun New" w:cs="TH Sarabun New"/>
          <w:sz w:val="32"/>
          <w:szCs w:val="32"/>
        </w:rPr>
      </w:pPr>
      <w:r w:rsidRPr="007E29AB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3098E888" w14:textId="77777777" w:rsidR="00011AA9" w:rsidRPr="00011AA9" w:rsidRDefault="00011AA9" w:rsidP="00011AA9">
      <w:pPr>
        <w:spacing w:line="276" w:lineRule="auto"/>
        <w:ind w:firstLine="450"/>
        <w:rPr>
          <w:rFonts w:ascii="TH Sarabun New" w:hAnsi="TH Sarabun New" w:cs="TH Sarabun New"/>
          <w:b/>
          <w:bCs/>
          <w:sz w:val="32"/>
          <w:szCs w:val="32"/>
        </w:rPr>
      </w:pPr>
      <w:r w:rsidRPr="00011AA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ง. บทความวิจัยใน </w:t>
      </w:r>
      <w:r w:rsidRPr="00011AA9">
        <w:rPr>
          <w:rFonts w:ascii="TH Sarabun New" w:hAnsi="TH Sarabun New" w:cs="TH Sarabun New"/>
          <w:b/>
          <w:bCs/>
          <w:sz w:val="32"/>
          <w:szCs w:val="32"/>
        </w:rPr>
        <w:t>Monograph, Book Series</w:t>
      </w:r>
    </w:p>
    <w:bookmarkEnd w:id="0"/>
    <w:p w14:paraId="52AB73A3" w14:textId="7B53564C" w:rsidR="00011AA9" w:rsidRPr="00011AA9" w:rsidRDefault="00011AA9" w:rsidP="00011AA9">
      <w:pPr>
        <w:pStyle w:val="ListParagraph"/>
        <w:spacing w:line="276" w:lineRule="auto"/>
        <w:ind w:left="1080"/>
        <w:rPr>
          <w:rFonts w:ascii="TH Sarabun New" w:hAnsi="TH Sarabun New" w:cs="TH Sarabun New"/>
          <w:sz w:val="32"/>
          <w:szCs w:val="32"/>
        </w:rPr>
      </w:pPr>
      <w:r w:rsidRPr="007E29AB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3B81C842" w14:textId="79A539E8" w:rsidR="0053291F" w:rsidRPr="0053291F" w:rsidRDefault="0053291F" w:rsidP="0053291F">
      <w:pPr>
        <w:shd w:val="clear" w:color="auto" w:fill="FFFFFF"/>
        <w:tabs>
          <w:tab w:val="left" w:pos="360"/>
        </w:tabs>
        <w:spacing w:before="120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53291F">
        <w:rPr>
          <w:rFonts w:ascii="TH Sarabun New" w:hAnsi="TH Sarabun New" w:cs="TH Sarabun New"/>
          <w:b/>
          <w:bCs/>
          <w:sz w:val="32"/>
          <w:szCs w:val="32"/>
          <w:cs/>
        </w:rPr>
        <w:t>ตำรา</w:t>
      </w:r>
    </w:p>
    <w:p w14:paraId="7CEC6F8E" w14:textId="77777777" w:rsidR="0053291F" w:rsidRPr="0053291F" w:rsidRDefault="0053291F" w:rsidP="0053291F">
      <w:pPr>
        <w:shd w:val="clear" w:color="auto" w:fill="FFFFFF"/>
        <w:tabs>
          <w:tab w:val="left" w:pos="360"/>
        </w:tabs>
        <w:spacing w:after="120" w:line="18" w:lineRule="atLeast"/>
        <w:ind w:left="360"/>
        <w:rPr>
          <w:rFonts w:ascii="TH Sarabun New" w:hAnsi="TH Sarabun New" w:cs="TH Sarabun New"/>
          <w:sz w:val="32"/>
          <w:szCs w:val="32"/>
        </w:rPr>
      </w:pPr>
      <w:r w:rsidRPr="0053291F">
        <w:rPr>
          <w:rFonts w:ascii="TH Sarabun New" w:hAnsi="TH Sarabun New" w:cs="TH Sarabun New"/>
          <w:sz w:val="32"/>
          <w:szCs w:val="32"/>
        </w:rPr>
        <w:tab/>
      </w:r>
      <w:r w:rsidRPr="0053291F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158083CA" w14:textId="77777777" w:rsidR="0053291F" w:rsidRPr="0053291F" w:rsidRDefault="0053291F" w:rsidP="0053291F">
      <w:pPr>
        <w:tabs>
          <w:tab w:val="left" w:pos="360"/>
        </w:tabs>
        <w:autoSpaceDE w:val="0"/>
        <w:autoSpaceDN w:val="0"/>
        <w:adjustRightInd w:val="0"/>
        <w:spacing w:line="18" w:lineRule="atLeast"/>
        <w:ind w:left="36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53291F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หนังสือ</w:t>
      </w:r>
    </w:p>
    <w:p w14:paraId="7E4C90C1" w14:textId="77777777" w:rsidR="0053291F" w:rsidRPr="0053291F" w:rsidRDefault="0053291F" w:rsidP="0053291F">
      <w:pPr>
        <w:tabs>
          <w:tab w:val="left" w:pos="360"/>
        </w:tabs>
        <w:autoSpaceDE w:val="0"/>
        <w:autoSpaceDN w:val="0"/>
        <w:adjustRightInd w:val="0"/>
        <w:spacing w:after="120" w:line="18" w:lineRule="atLeast"/>
        <w:ind w:left="360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53291F">
        <w:rPr>
          <w:rFonts w:ascii="TH Sarabun New" w:eastAsia="Calibri" w:hAnsi="TH Sarabun New" w:cs="TH Sarabun New"/>
          <w:sz w:val="32"/>
          <w:szCs w:val="32"/>
        </w:rPr>
        <w:tab/>
      </w:r>
      <w:r w:rsidRPr="0053291F">
        <w:rPr>
          <w:rFonts w:ascii="TH Sarabun New" w:eastAsia="Calibri" w:hAnsi="TH Sarabun New" w:cs="TH Sarabun New"/>
          <w:sz w:val="32"/>
          <w:szCs w:val="32"/>
          <w:cs/>
        </w:rPr>
        <w:t>ไม่มี</w:t>
      </w:r>
    </w:p>
    <w:p w14:paraId="5A5A3B0A" w14:textId="77777777" w:rsidR="0053291F" w:rsidRPr="0053291F" w:rsidRDefault="0053291F" w:rsidP="0053291F">
      <w:pPr>
        <w:shd w:val="clear" w:color="auto" w:fill="FFFFFF"/>
        <w:tabs>
          <w:tab w:val="left" w:pos="360"/>
        </w:tabs>
        <w:spacing w:line="18" w:lineRule="atLeast"/>
        <w:ind w:left="360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53291F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>บทความทางวิชาการ (</w:t>
      </w:r>
      <w:r w:rsidRPr="0053291F">
        <w:rPr>
          <w:rFonts w:ascii="TH Sarabun New" w:hAnsi="TH Sarabun New" w:cs="TH Sarabun New"/>
          <w:b/>
          <w:bCs/>
          <w:spacing w:val="-4"/>
          <w:sz w:val="32"/>
          <w:szCs w:val="32"/>
        </w:rPr>
        <w:t>Review Article)</w:t>
      </w:r>
    </w:p>
    <w:p w14:paraId="5297E372" w14:textId="77777777" w:rsidR="0053291F" w:rsidRPr="0053291F" w:rsidRDefault="0053291F" w:rsidP="0053291F">
      <w:pPr>
        <w:shd w:val="clear" w:color="auto" w:fill="FFFFFF"/>
        <w:tabs>
          <w:tab w:val="left" w:pos="360"/>
        </w:tabs>
        <w:spacing w:after="120" w:line="18" w:lineRule="atLeast"/>
        <w:ind w:left="360"/>
        <w:rPr>
          <w:rFonts w:ascii="TH Sarabun New" w:hAnsi="TH Sarabun New" w:cs="TH Sarabun New"/>
          <w:b/>
          <w:bCs/>
          <w:spacing w:val="-4"/>
          <w:sz w:val="32"/>
          <w:szCs w:val="32"/>
        </w:rPr>
      </w:pPr>
      <w:r w:rsidRPr="0053291F">
        <w:rPr>
          <w:rFonts w:ascii="TH Sarabun New" w:hAnsi="TH Sarabun New" w:cs="TH Sarabun New"/>
          <w:sz w:val="32"/>
          <w:szCs w:val="32"/>
        </w:rPr>
        <w:tab/>
      </w:r>
      <w:r w:rsidRPr="0053291F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27FD6D13" w14:textId="77777777" w:rsidR="0053291F" w:rsidRPr="0053291F" w:rsidRDefault="0053291F" w:rsidP="0053291F">
      <w:pPr>
        <w:spacing w:line="18" w:lineRule="atLeast"/>
        <w:ind w:left="360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53291F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ผลงานทางวิชาการในลักษณะอื่นๆ (ตามนิยามที่ ก.พ.อ. กำหนด)</w:t>
      </w:r>
    </w:p>
    <w:p w14:paraId="404E3184" w14:textId="77777777" w:rsidR="0053291F" w:rsidRPr="0053291F" w:rsidRDefault="0053291F" w:rsidP="0053291F">
      <w:pPr>
        <w:spacing w:after="120" w:line="18" w:lineRule="atLeast"/>
        <w:ind w:left="360" w:firstLine="360"/>
        <w:rPr>
          <w:rFonts w:ascii="TH Sarabun New" w:eastAsia="Calibri" w:hAnsi="TH Sarabun New" w:cs="TH Sarabun New"/>
          <w:sz w:val="32"/>
          <w:szCs w:val="32"/>
        </w:rPr>
      </w:pPr>
      <w:r w:rsidRPr="0053291F">
        <w:rPr>
          <w:rFonts w:ascii="TH Sarabun New" w:eastAsia="Calibri" w:hAnsi="TH Sarabun New" w:cs="TH Sarabun New"/>
          <w:sz w:val="32"/>
          <w:szCs w:val="32"/>
          <w:cs/>
        </w:rPr>
        <w:t>ไม่มี</w:t>
      </w:r>
    </w:p>
    <w:p w14:paraId="324D3C39" w14:textId="77777777" w:rsidR="007D4C53" w:rsidRPr="0053291F" w:rsidRDefault="007D4C53">
      <w:pPr>
        <w:rPr>
          <w:rFonts w:ascii="TH Sarabun New" w:hAnsi="TH Sarabun New" w:cs="TH Sarabun New"/>
        </w:rPr>
      </w:pPr>
    </w:p>
    <w:sectPr w:rsidR="007D4C53" w:rsidRPr="0053291F" w:rsidSect="00571078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B6518"/>
    <w:multiLevelType w:val="hybridMultilevel"/>
    <w:tmpl w:val="48C29856"/>
    <w:lvl w:ilvl="0" w:tplc="DD5478C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5086F"/>
    <w:multiLevelType w:val="hybridMultilevel"/>
    <w:tmpl w:val="61461834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024B82"/>
    <w:multiLevelType w:val="hybridMultilevel"/>
    <w:tmpl w:val="DF2C1B50"/>
    <w:lvl w:ilvl="0" w:tplc="1D0E24A2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317884">
    <w:abstractNumId w:val="2"/>
  </w:num>
  <w:num w:numId="2" w16cid:durableId="852261914">
    <w:abstractNumId w:val="1"/>
  </w:num>
  <w:num w:numId="3" w16cid:durableId="1377389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1F"/>
    <w:rsid w:val="00011AA9"/>
    <w:rsid w:val="000C12BF"/>
    <w:rsid w:val="00240163"/>
    <w:rsid w:val="00352E0D"/>
    <w:rsid w:val="003F51A0"/>
    <w:rsid w:val="0053291F"/>
    <w:rsid w:val="00571078"/>
    <w:rsid w:val="005E5F77"/>
    <w:rsid w:val="00761802"/>
    <w:rsid w:val="007D4C53"/>
    <w:rsid w:val="00995416"/>
    <w:rsid w:val="00F7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7462"/>
  <w15:chartTrackingRefBased/>
  <w15:docId w15:val="{741E738D-9254-4E0B-8F66-2D9072A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91F"/>
    <w:pPr>
      <w:spacing w:after="0" w:line="240" w:lineRule="auto"/>
    </w:pPr>
    <w:rPr>
      <w:rFonts w:ascii="Cordia New" w:eastAsia="MS Mincho" w:hAnsi="Cordia New" w:cs="Cordia New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9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9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9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9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91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91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91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329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329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32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Prapaipan Panchana</dc:creator>
  <cp:keywords/>
  <dc:description/>
  <cp:lastModifiedBy>Prapaipan Panchana</cp:lastModifiedBy>
  <cp:revision>9</cp:revision>
  <dcterms:created xsi:type="dcterms:W3CDTF">2025-04-11T13:05:00Z</dcterms:created>
  <dcterms:modified xsi:type="dcterms:W3CDTF">2025-04-11T13:17:00Z</dcterms:modified>
</cp:coreProperties>
</file>